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left="0" w:hanging="0"/>
        <w:textAlignment w:val="top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top"/>
        <w:outlineLvl w:val="1"/>
        <w:rPr>
          <w:rFonts w:ascii="Arial" w:hAnsi="Arial" w:eastAsia="Times New Roman" w:cs="Arial"/>
          <w:b/>
          <w:bCs/>
          <w:color w:val="87B634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87B634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top"/>
        <w:outlineLvl w:val="1"/>
        <w:rPr>
          <w:rFonts w:ascii="Arial" w:hAnsi="Arial" w:eastAsia="Times New Roman" w:cs="Arial"/>
          <w:b/>
          <w:bCs/>
          <w:color w:val="87B634"/>
          <w:sz w:val="36"/>
          <w:szCs w:val="36"/>
          <w:lang w:eastAsia="ru-RU"/>
        </w:rPr>
      </w:pPr>
      <w:hyperlink r:id="rId2">
        <w:r>
          <w:rPr>
            <w:rFonts w:eastAsia="Times New Roman" w:cs="Arial" w:ascii="Arial" w:hAnsi="Arial"/>
            <w:color w:val="87B634"/>
            <w:sz w:val="36"/>
            <w:szCs w:val="36"/>
            <w:u w:val="single"/>
            <w:lang w:eastAsia="ru-RU"/>
          </w:rPr>
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848484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848484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 общей численности обучающихся: 29 воспитанников.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— 0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численности обучающихся за счет бюджетных ассигнований бюджетов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субъектов Российской Федерации (в том числе с выделением численности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обучающихся, являющихся иностранными гражданами) — 0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  численности обучающихся за счет бюджетных ассигнований местных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Arial" w:hAnsi="Arial"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бюджетов (в том числе с выделением численности обучающихся, являющихся иностранными гражданами) —29 воспитанников.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24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d21ce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d21ce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-">
    <w:name w:val="Hyperlink"/>
    <w:basedOn w:val="DefaultParagraphFont"/>
    <w:uiPriority w:val="99"/>
    <w:semiHidden/>
    <w:unhideWhenUsed/>
    <w:rsid w:val="00d2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ce1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kdou-4.ru/4-obrazovanie/1251-o-chislennosti-obuchayushchikhsya-po-realizuemym-obrazovatelnym-programmam-za-schet-byudzhetnykh-assignovanij-federalnogo-byudzheta-byudzhetov-sub-ektov-rossijskoj-federatsii-mestnykh-byudzhetov-i-po-dogovoram-ob-obrazovanii-za-schet-sredstv-fizicheskik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</Pages>
  <Words>102</Words>
  <Characters>769</Characters>
  <CharactersWithSpaces>866</CharactersWithSpaces>
  <Paragraphs>8</Paragraphs>
  <Company>Ставропольский ГАУ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2024-03-21T07:00:00Z</dcterms:created>
  <dc:creator>Пользователь</dc:creator>
  <dc:description/>
  <dc:language>ru-RU</dc:language>
  <cp:lastModifiedBy/>
  <dcterms:modified xsi:type="dcterms:W3CDTF">2024-03-21T12:02:52Z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